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2826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right="-58"/>
        <w:textAlignment w:val="auto"/>
        <w:rPr>
          <w:rFonts w:hint="eastAsia" w:eastAsia="黑体"/>
          <w:szCs w:val="32"/>
          <w:lang w:eastAsia="zh-CN"/>
        </w:rPr>
      </w:pPr>
      <w:r>
        <w:rPr>
          <w:rFonts w:hint="eastAsia" w:ascii="黑体" w:hAnsi="黑体" w:eastAsia="黑体" w:cs="黑体"/>
          <w:szCs w:val="32"/>
        </w:rPr>
        <w:t>附件</w:t>
      </w:r>
      <w:r>
        <w:rPr>
          <w:rFonts w:hint="eastAsia" w:eastAsia="黑体"/>
          <w:szCs w:val="32"/>
          <w:lang w:val="en-US" w:eastAsia="zh-CN"/>
        </w:rPr>
        <w:t>2</w:t>
      </w:r>
    </w:p>
    <w:p w14:paraId="32FD12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eastAsia="方正小标宋简体" w:cs="方正小标宋简体"/>
          <w:sz w:val="44"/>
          <w:szCs w:val="44"/>
        </w:rPr>
      </w:pPr>
      <w:r>
        <w:rPr>
          <w:rFonts w:hint="eastAsia" w:eastAsia="方正小标宋简体" w:cs="方正小标宋简体"/>
          <w:sz w:val="44"/>
          <w:szCs w:val="44"/>
        </w:rPr>
        <w:t>第四届全国大学生职业规划大赛</w:t>
      </w:r>
    </w:p>
    <w:p w14:paraId="1F7989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eastAsia="方正小标宋简体" w:cs="方正小标宋简体"/>
          <w:sz w:val="44"/>
          <w:szCs w:val="44"/>
        </w:rPr>
      </w:pPr>
      <w:r>
        <w:rPr>
          <w:rFonts w:hint="eastAsia" w:eastAsia="方正小标宋简体" w:cs="方正小标宋简体"/>
          <w:sz w:val="44"/>
          <w:szCs w:val="44"/>
        </w:rPr>
        <w:t>评审标准</w:t>
      </w:r>
    </w:p>
    <w:p w14:paraId="7AF9D0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eastAsia="黑体" w:cs="仿宋_GB2312"/>
          <w:bCs/>
          <w:szCs w:val="32"/>
        </w:rPr>
      </w:pPr>
    </w:p>
    <w:p w14:paraId="5514A1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eastAsia="黑体" w:cs="仿宋_GB2312"/>
          <w:bCs/>
          <w:szCs w:val="32"/>
          <w:lang w:eastAsia="zh-CN"/>
        </w:rPr>
      </w:pPr>
      <w:r>
        <w:rPr>
          <w:rFonts w:hint="eastAsia" w:eastAsia="黑体" w:cs="仿宋_GB2312"/>
          <w:bCs/>
          <w:szCs w:val="32"/>
        </w:rPr>
        <w:t>一、</w:t>
      </w:r>
      <w:r>
        <w:rPr>
          <w:rFonts w:hint="eastAsia" w:eastAsia="黑体" w:cs="仿宋_GB2312"/>
          <w:bCs/>
          <w:szCs w:val="32"/>
          <w:lang w:val="en-US" w:eastAsia="zh-CN"/>
        </w:rPr>
        <w:t>成长赛道</w:t>
      </w:r>
    </w:p>
    <w:tbl>
      <w:tblPr>
        <w:tblStyle w:val="12"/>
        <w:tblpPr w:leftFromText="180" w:rightFromText="180" w:vertAnchor="text" w:horzAnchor="page" w:tblpX="1875" w:tblpY="68"/>
        <w:tblOverlap w:val="never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8"/>
        <w:gridCol w:w="6358"/>
        <w:gridCol w:w="803"/>
      </w:tblGrid>
      <w:tr w14:paraId="230071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797" w:type="pct"/>
            <w:vAlign w:val="center"/>
          </w:tcPr>
          <w:p w14:paraId="1E8EA3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指标</w:t>
            </w:r>
          </w:p>
        </w:tc>
        <w:tc>
          <w:tcPr>
            <w:tcW w:w="3731" w:type="pct"/>
            <w:vAlign w:val="center"/>
          </w:tcPr>
          <w:p w14:paraId="3128F2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说明</w:t>
            </w:r>
          </w:p>
        </w:tc>
        <w:tc>
          <w:tcPr>
            <w:tcW w:w="471" w:type="pct"/>
            <w:vAlign w:val="center"/>
          </w:tcPr>
          <w:p w14:paraId="24832D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分值</w:t>
            </w:r>
          </w:p>
        </w:tc>
      </w:tr>
      <w:tr w14:paraId="0755CB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exact"/>
        </w:trPr>
        <w:tc>
          <w:tcPr>
            <w:tcW w:w="797" w:type="pct"/>
            <w:vMerge w:val="restart"/>
            <w:vAlign w:val="center"/>
          </w:tcPr>
          <w:p w14:paraId="78AB49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职业目标</w:t>
            </w:r>
          </w:p>
        </w:tc>
        <w:tc>
          <w:tcPr>
            <w:tcW w:w="3731" w:type="pct"/>
            <w:vAlign w:val="center"/>
          </w:tcPr>
          <w:p w14:paraId="3EC854C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职业目标能够将个人理想与国家需要、经济社会发展相结合，体现正确的择业就业观念</w:t>
            </w:r>
          </w:p>
        </w:tc>
        <w:tc>
          <w:tcPr>
            <w:tcW w:w="471" w:type="pct"/>
            <w:vMerge w:val="restart"/>
            <w:vAlign w:val="center"/>
          </w:tcPr>
          <w:p w14:paraId="5747FE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25</w:t>
            </w:r>
          </w:p>
        </w:tc>
      </w:tr>
      <w:tr w14:paraId="50318F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0" w:hRule="exact"/>
        </w:trPr>
        <w:tc>
          <w:tcPr>
            <w:tcW w:w="797" w:type="pct"/>
            <w:vMerge w:val="continue"/>
            <w:vAlign w:val="center"/>
          </w:tcPr>
          <w:p w14:paraId="37EFE2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3731" w:type="pct"/>
            <w:vAlign w:val="center"/>
          </w:tcPr>
          <w:p w14:paraId="080FC2D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结合学科专业，多渠道了解相关行业发展趋势和就业市场需求，综合分析个人价值追求、能力优势、兴趣偏好等，确定职业发展方向或目标</w:t>
            </w:r>
          </w:p>
        </w:tc>
        <w:tc>
          <w:tcPr>
            <w:tcW w:w="471" w:type="pct"/>
            <w:vMerge w:val="continue"/>
            <w:vAlign w:val="center"/>
          </w:tcPr>
          <w:p w14:paraId="13764E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sz w:val="28"/>
                <w:szCs w:val="28"/>
              </w:rPr>
            </w:pPr>
          </w:p>
        </w:tc>
      </w:tr>
      <w:tr w14:paraId="5976BF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797" w:type="pct"/>
            <w:vMerge w:val="restart"/>
            <w:vAlign w:val="center"/>
          </w:tcPr>
          <w:p w14:paraId="2C6C60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学习实践行动</w:t>
            </w:r>
          </w:p>
        </w:tc>
        <w:tc>
          <w:tcPr>
            <w:tcW w:w="3731" w:type="pct"/>
            <w:vAlign w:val="center"/>
          </w:tcPr>
          <w:p w14:paraId="7592C6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基于职业发展方向或目标的能力特征和要求，科学分析差距，制定合理可行的学习、实践计划</w:t>
            </w:r>
          </w:p>
        </w:tc>
        <w:tc>
          <w:tcPr>
            <w:tcW w:w="471" w:type="pct"/>
            <w:vMerge w:val="restart"/>
            <w:vAlign w:val="center"/>
          </w:tcPr>
          <w:p w14:paraId="22B0EC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50</w:t>
            </w:r>
          </w:p>
        </w:tc>
      </w:tr>
      <w:tr w14:paraId="3C5435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797" w:type="pct"/>
            <w:vMerge w:val="continue"/>
            <w:vAlign w:val="center"/>
          </w:tcPr>
          <w:p w14:paraId="43E6C0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3731" w:type="pct"/>
            <w:vAlign w:val="center"/>
          </w:tcPr>
          <w:p w14:paraId="78494B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结合学校育人特色和所学专业，充分挖掘、利用学校、社会等各种资源开展学习实践</w:t>
            </w:r>
          </w:p>
        </w:tc>
        <w:tc>
          <w:tcPr>
            <w:tcW w:w="471" w:type="pct"/>
            <w:vMerge w:val="continue"/>
            <w:vAlign w:val="center"/>
          </w:tcPr>
          <w:p w14:paraId="5C8460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sz w:val="28"/>
                <w:szCs w:val="28"/>
              </w:rPr>
            </w:pPr>
          </w:p>
        </w:tc>
      </w:tr>
      <w:tr w14:paraId="531CA6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</w:trPr>
        <w:tc>
          <w:tcPr>
            <w:tcW w:w="797" w:type="pct"/>
            <w:vMerge w:val="continue"/>
            <w:vAlign w:val="center"/>
          </w:tcPr>
          <w:p w14:paraId="43BB61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3731" w:type="pct"/>
            <w:vAlign w:val="center"/>
          </w:tcPr>
          <w:p w14:paraId="4C72F9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在学习实践行动中克服困难、灵活应变、积极进取，取得阶段性成果</w:t>
            </w:r>
          </w:p>
        </w:tc>
        <w:tc>
          <w:tcPr>
            <w:tcW w:w="471" w:type="pct"/>
            <w:vMerge w:val="continue"/>
            <w:vAlign w:val="center"/>
          </w:tcPr>
          <w:p w14:paraId="403D1A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sz w:val="28"/>
                <w:szCs w:val="28"/>
              </w:rPr>
            </w:pPr>
          </w:p>
        </w:tc>
      </w:tr>
      <w:tr w14:paraId="07B4C8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</w:trPr>
        <w:tc>
          <w:tcPr>
            <w:tcW w:w="797" w:type="pct"/>
            <w:vMerge w:val="restart"/>
            <w:vAlign w:val="center"/>
          </w:tcPr>
          <w:p w14:paraId="1DBF75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优化改进</w:t>
            </w:r>
          </w:p>
        </w:tc>
        <w:tc>
          <w:tcPr>
            <w:tcW w:w="3731" w:type="pct"/>
            <w:vAlign w:val="center"/>
          </w:tcPr>
          <w:p w14:paraId="70B027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及时对学习实践行动成效进行自我评估和反思，总结分析收获、不足和原因</w:t>
            </w:r>
          </w:p>
        </w:tc>
        <w:tc>
          <w:tcPr>
            <w:tcW w:w="471" w:type="pct"/>
            <w:vMerge w:val="restart"/>
            <w:vAlign w:val="center"/>
          </w:tcPr>
          <w:p w14:paraId="484421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>
              <w:rPr>
                <w:rFonts w:hint="eastAsia"/>
                <w:sz w:val="28"/>
                <w:szCs w:val="28"/>
              </w:rPr>
              <w:t>5</w:t>
            </w:r>
          </w:p>
        </w:tc>
      </w:tr>
      <w:tr w14:paraId="4730BE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" w:hRule="atLeast"/>
        </w:trPr>
        <w:tc>
          <w:tcPr>
            <w:tcW w:w="797" w:type="pct"/>
            <w:vMerge w:val="continue"/>
            <w:vAlign w:val="center"/>
          </w:tcPr>
          <w:p w14:paraId="75B2DB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3731" w:type="pct"/>
            <w:vAlign w:val="center"/>
          </w:tcPr>
          <w:p w14:paraId="6CAF01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在成长过程中对职业目标和学习实践行动路径进行动态优化，通过积极行动应对变化和挑战</w:t>
            </w:r>
          </w:p>
        </w:tc>
        <w:tc>
          <w:tcPr>
            <w:tcW w:w="471" w:type="pct"/>
            <w:vMerge w:val="continue"/>
            <w:vAlign w:val="center"/>
          </w:tcPr>
          <w:p w14:paraId="1CCFEC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sz w:val="28"/>
                <w:szCs w:val="28"/>
              </w:rPr>
            </w:pPr>
          </w:p>
        </w:tc>
      </w:tr>
      <w:tr w14:paraId="2FDE31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797" w:type="pct"/>
            <w:vAlign w:val="center"/>
          </w:tcPr>
          <w:p w14:paraId="05CFAF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sz w:val="26"/>
                <w:szCs w:val="26"/>
              </w:rPr>
            </w:pPr>
            <w:r>
              <w:rPr>
                <w:rFonts w:hint="eastAsia" w:ascii="黑体" w:hAnsi="黑体" w:eastAsia="黑体" w:cs="黑体"/>
                <w:sz w:val="26"/>
                <w:szCs w:val="26"/>
              </w:rPr>
              <w:t>总分</w:t>
            </w:r>
          </w:p>
        </w:tc>
        <w:tc>
          <w:tcPr>
            <w:tcW w:w="3731" w:type="pct"/>
            <w:vAlign w:val="center"/>
          </w:tcPr>
          <w:p w14:paraId="123A11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textAlignment w:val="auto"/>
              <w:rPr>
                <w:sz w:val="26"/>
                <w:szCs w:val="26"/>
              </w:rPr>
            </w:pPr>
          </w:p>
        </w:tc>
        <w:tc>
          <w:tcPr>
            <w:tcW w:w="471" w:type="pct"/>
            <w:vAlign w:val="center"/>
          </w:tcPr>
          <w:p w14:paraId="758874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-160" w:leftChars="-50" w:right="-160" w:rightChars="-50"/>
              <w:jc w:val="center"/>
              <w:textAlignment w:val="auto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100</w:t>
            </w:r>
          </w:p>
        </w:tc>
      </w:tr>
    </w:tbl>
    <w:p w14:paraId="608031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eastAsia="黑体" w:cs="仿宋_GB2312"/>
          <w:bCs/>
          <w:szCs w:val="32"/>
        </w:rPr>
      </w:pPr>
    </w:p>
    <w:p w14:paraId="0C29B8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</w:rPr>
      </w:pPr>
    </w:p>
    <w:p w14:paraId="02AD72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</w:rPr>
      </w:pPr>
    </w:p>
    <w:p w14:paraId="0ACCB5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</w:rPr>
      </w:pPr>
    </w:p>
    <w:p w14:paraId="7F64BF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</w:rPr>
      </w:pPr>
    </w:p>
    <w:p w14:paraId="285650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eastAsia="黑体" w:cs="仿宋_GB2312"/>
          <w:bCs/>
          <w:szCs w:val="32"/>
          <w:lang w:val="en-US" w:eastAsia="zh-CN"/>
        </w:rPr>
      </w:pPr>
      <w:bookmarkStart w:id="0" w:name="_GoBack"/>
      <w:bookmarkEnd w:id="0"/>
      <w:r>
        <w:rPr>
          <w:rFonts w:hint="eastAsia" w:eastAsia="黑体" w:cs="仿宋_GB2312"/>
          <w:bCs/>
          <w:szCs w:val="32"/>
          <w:lang w:val="en-US" w:eastAsia="zh-CN"/>
        </w:rPr>
        <w:t>二</w:t>
      </w:r>
      <w:r>
        <w:rPr>
          <w:rFonts w:hint="eastAsia" w:eastAsia="黑体" w:cs="仿宋_GB2312"/>
          <w:bCs/>
          <w:szCs w:val="32"/>
        </w:rPr>
        <w:t>、</w:t>
      </w:r>
      <w:r>
        <w:rPr>
          <w:rFonts w:hint="eastAsia" w:eastAsia="黑体" w:cs="仿宋_GB2312"/>
          <w:bCs/>
          <w:szCs w:val="32"/>
          <w:lang w:val="en-US" w:eastAsia="zh-CN"/>
        </w:rPr>
        <w:t>就业赛道</w:t>
      </w:r>
    </w:p>
    <w:tbl>
      <w:tblPr>
        <w:tblStyle w:val="12"/>
        <w:tblW w:w="504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9"/>
        <w:gridCol w:w="6408"/>
        <w:gridCol w:w="810"/>
      </w:tblGrid>
      <w:tr w14:paraId="171431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802" w:type="pct"/>
            <w:vAlign w:val="center"/>
          </w:tcPr>
          <w:p w14:paraId="37C7A1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指标</w:t>
            </w:r>
          </w:p>
        </w:tc>
        <w:tc>
          <w:tcPr>
            <w:tcW w:w="3726" w:type="pct"/>
            <w:vAlign w:val="center"/>
          </w:tcPr>
          <w:p w14:paraId="0CB95C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说明</w:t>
            </w:r>
          </w:p>
        </w:tc>
        <w:tc>
          <w:tcPr>
            <w:tcW w:w="471" w:type="pct"/>
            <w:vAlign w:val="center"/>
          </w:tcPr>
          <w:p w14:paraId="3A08AC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分值</w:t>
            </w:r>
          </w:p>
        </w:tc>
      </w:tr>
      <w:tr w14:paraId="5FA0C9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02" w:type="pct"/>
            <w:vMerge w:val="restart"/>
            <w:vAlign w:val="center"/>
          </w:tcPr>
          <w:p w14:paraId="73E613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职业目标</w:t>
            </w:r>
          </w:p>
        </w:tc>
        <w:tc>
          <w:tcPr>
            <w:tcW w:w="3726" w:type="pct"/>
            <w:vAlign w:val="center"/>
          </w:tcPr>
          <w:p w14:paraId="2BE12DA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能够结合就业市场需求和个人所学专业、能力及兴趣等特点，合理设定职业目标</w:t>
            </w:r>
          </w:p>
        </w:tc>
        <w:tc>
          <w:tcPr>
            <w:tcW w:w="471" w:type="pct"/>
            <w:vMerge w:val="restart"/>
            <w:vAlign w:val="center"/>
          </w:tcPr>
          <w:p w14:paraId="3B31D0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10</w:t>
            </w:r>
          </w:p>
        </w:tc>
      </w:tr>
      <w:tr w14:paraId="12F7C9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02" w:type="pct"/>
            <w:vMerge w:val="continue"/>
            <w:vAlign w:val="center"/>
          </w:tcPr>
          <w:p w14:paraId="1F8393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3726" w:type="pct"/>
            <w:vAlign w:val="center"/>
          </w:tcPr>
          <w:p w14:paraId="41FF2F4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深入调研并准确把握目标职业的任职要求、工作内容、业务流程和发展路径等</w:t>
            </w:r>
          </w:p>
        </w:tc>
        <w:tc>
          <w:tcPr>
            <w:tcW w:w="471" w:type="pct"/>
            <w:vMerge w:val="continue"/>
            <w:vAlign w:val="center"/>
          </w:tcPr>
          <w:p w14:paraId="492DB4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6132FB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02" w:type="pct"/>
            <w:vMerge w:val="restart"/>
            <w:vAlign w:val="center"/>
          </w:tcPr>
          <w:p w14:paraId="402B88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岗位</w:t>
            </w:r>
          </w:p>
          <w:p w14:paraId="04B4A0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胜任力</w:t>
            </w:r>
          </w:p>
        </w:tc>
        <w:tc>
          <w:tcPr>
            <w:tcW w:w="3726" w:type="pct"/>
            <w:vAlign w:val="center"/>
          </w:tcPr>
          <w:p w14:paraId="4DC0D1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具备目标岗位所需综合素质，如逻辑思维、沟通表达、团队协作、数字素养等，具有职业使命感和敬业奉献的职业精神</w:t>
            </w:r>
          </w:p>
        </w:tc>
        <w:tc>
          <w:tcPr>
            <w:tcW w:w="471" w:type="pct"/>
            <w:vAlign w:val="center"/>
          </w:tcPr>
          <w:p w14:paraId="3580A5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40</w:t>
            </w:r>
          </w:p>
        </w:tc>
      </w:tr>
      <w:tr w14:paraId="28D6C4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02" w:type="pct"/>
            <w:vMerge w:val="continue"/>
            <w:vAlign w:val="center"/>
          </w:tcPr>
          <w:p w14:paraId="555C5F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3726" w:type="pct"/>
            <w:vAlign w:val="center"/>
          </w:tcPr>
          <w:p w14:paraId="38A711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具备目标岗位所需专业知识和技能，有相关实习实践经历，具备解决实际问题的专业能力</w:t>
            </w:r>
          </w:p>
        </w:tc>
        <w:tc>
          <w:tcPr>
            <w:tcW w:w="471" w:type="pct"/>
            <w:vAlign w:val="center"/>
          </w:tcPr>
          <w:p w14:paraId="090721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eastAsia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40</w:t>
            </w:r>
          </w:p>
        </w:tc>
      </w:tr>
      <w:tr w14:paraId="5CAF08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exact"/>
          <w:jc w:val="center"/>
        </w:trPr>
        <w:tc>
          <w:tcPr>
            <w:tcW w:w="802" w:type="pct"/>
            <w:vAlign w:val="center"/>
          </w:tcPr>
          <w:p w14:paraId="0D5232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发展潜力</w:t>
            </w:r>
          </w:p>
        </w:tc>
        <w:tc>
          <w:tcPr>
            <w:tcW w:w="3726" w:type="pct"/>
            <w:vAlign w:val="center"/>
          </w:tcPr>
          <w:p w14:paraId="190766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pacing w:val="-6"/>
                <w:sz w:val="28"/>
                <w:szCs w:val="28"/>
              </w:rPr>
              <w:t>具备持续学习能力、创新精神和应对不确定性挑战的能力，能适应未来职业发展要求和就业市场的变化</w:t>
            </w:r>
          </w:p>
        </w:tc>
        <w:tc>
          <w:tcPr>
            <w:tcW w:w="471" w:type="pct"/>
            <w:vAlign w:val="center"/>
          </w:tcPr>
          <w:p w14:paraId="573267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10</w:t>
            </w:r>
          </w:p>
        </w:tc>
      </w:tr>
      <w:tr w14:paraId="0D0896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exact"/>
          <w:jc w:val="center"/>
        </w:trPr>
        <w:tc>
          <w:tcPr>
            <w:tcW w:w="802" w:type="pct"/>
            <w:vAlign w:val="center"/>
          </w:tcPr>
          <w:p w14:paraId="3402AE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sz w:val="26"/>
                <w:szCs w:val="26"/>
              </w:rPr>
            </w:pPr>
            <w:r>
              <w:rPr>
                <w:rFonts w:hint="eastAsia" w:ascii="黑体" w:hAnsi="黑体" w:eastAsia="黑体" w:cs="黑体"/>
                <w:sz w:val="26"/>
                <w:szCs w:val="26"/>
              </w:rPr>
              <w:t>总分</w:t>
            </w:r>
          </w:p>
        </w:tc>
        <w:tc>
          <w:tcPr>
            <w:tcW w:w="3726" w:type="pct"/>
            <w:vAlign w:val="center"/>
          </w:tcPr>
          <w:p w14:paraId="76E996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textAlignment w:val="auto"/>
              <w:rPr>
                <w:sz w:val="26"/>
                <w:szCs w:val="26"/>
              </w:rPr>
            </w:pPr>
          </w:p>
        </w:tc>
        <w:tc>
          <w:tcPr>
            <w:tcW w:w="471" w:type="pct"/>
            <w:vAlign w:val="center"/>
          </w:tcPr>
          <w:p w14:paraId="0CCDA4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-160" w:leftChars="-50" w:right="-160" w:rightChars="-50"/>
              <w:jc w:val="center"/>
              <w:textAlignment w:val="auto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100</w:t>
            </w:r>
          </w:p>
        </w:tc>
      </w:tr>
    </w:tbl>
    <w:p w14:paraId="19AC72B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firstLine="640" w:firstLineChars="200"/>
        <w:jc w:val="left"/>
        <w:textAlignment w:val="auto"/>
        <w:rPr>
          <w:rFonts w:ascii="仿宋_GB2312" w:hAnsi="仿宋_GB2312" w:cs="仿宋_GB2312"/>
          <w:color w:val="000000"/>
          <w:kern w:val="0"/>
          <w:szCs w:val="32"/>
          <w:lang w:bidi="ar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984" w:right="1800" w:bottom="1871" w:left="1800" w:header="851" w:footer="1531" w:gutter="0"/>
      <w:pgNumType w:fmt="decimal" w:start="8"/>
      <w:cols w:space="720" w:num="1"/>
      <w:rtlGutter w:val="0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FA7614B-C736-47A6-98F6-7EA6861363B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2" w:fontKey="{C7A733F4-3A0B-4F2C-BA36-D6B0C305C297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849AD701-D164-43C5-A6A6-B321B8F116D9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4" w:fontKey="{151E3048-A081-4443-AC71-F9EF057DFD7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97D9F6">
    <w:pPr>
      <w:pStyle w:val="7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4445</wp:posOffset>
              </wp:positionV>
              <wp:extent cx="864235" cy="352425"/>
              <wp:effectExtent l="0" t="0" r="0" b="0"/>
              <wp:wrapNone/>
              <wp:docPr id="1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64235" cy="3524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4F622C2">
                          <w:pPr>
                            <w:pStyle w:val="7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cs="仿宋_GB2312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hint="eastAsia" w:ascii="仿宋_GB2312" w:hAnsi="仿宋_GB2312" w:cs="仿宋_GB2312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.35pt;height:27.75pt;width:68.05pt;mso-position-horizontal:outside;mso-position-horizontal-relative:margin;z-index:251659264;mso-width-relative:page;mso-height-relative:page;" filled="f" stroked="f" coordsize="21600,21600" o:gfxdata="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toOTtdQAAAAEAQAADwAAAAAAAAABACAAAAAiAAAAZHJzL2Rvd25yZXYueG1s&#10;UEsBAhQAFAAAAAgAh07iQB2RrL7DAQAAegMAAA4AAAAAAAAAAQAgAAAAIwEAAGRycy9lMm9Eb2Mu&#10;eG1sUEsFBgAAAAAGAAYAWQEAAFg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54F622C2">
                    <w:pPr>
                      <w:pStyle w:val="7"/>
                      <w:jc w:val="center"/>
                      <w:rPr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cs="仿宋_GB2312"/>
                        <w:sz w:val="28"/>
                        <w:szCs w:val="28"/>
                      </w:rPr>
                      <w:t>—</w:t>
                    </w:r>
                    <w:r>
                      <w:rPr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hint="eastAsia" w:ascii="仿宋_GB2312" w:hAnsi="仿宋_GB2312" w:cs="仿宋_GB2312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210D23">
    <w:pPr>
      <w:pStyle w:val="7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AD71C8">
    <w:pPr>
      <w:pStyle w:val="7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39A3FF">
    <w:pPr>
      <w:pStyle w:val="8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2C4E63">
    <w:pPr>
      <w:pStyle w:val="8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1042B7">
    <w:pPr>
      <w:pStyle w:val="8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bordersDoNotSurroundHeader w:val="1"/>
  <w:bordersDoNotSurroundFooter w:val="1"/>
  <w:documentProtection w:enforcement="0"/>
  <w:defaultTabStop w:val="0"/>
  <w:hyphenationZone w:val="360"/>
  <w:drawingGridHorizontalSpacing w:val="160"/>
  <w:drawingGridVerticalSpacing w:val="435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D6B3147"/>
    <w:rsid w:val="51F77DB5"/>
    <w:rsid w:val="FD0BDC8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qFormat="1" w:unhideWhenUsed="0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napToGrid w:val="0"/>
      <w:jc w:val="both"/>
    </w:pPr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/>
      <w:b/>
      <w:bCs/>
      <w:kern w:val="44"/>
      <w:sz w:val="48"/>
      <w:szCs w:val="48"/>
    </w:rPr>
  </w:style>
  <w:style w:type="character" w:default="1" w:styleId="13">
    <w:name w:val="Default Paragraph Font"/>
    <w:unhideWhenUsed/>
    <w:qFormat/>
    <w:uiPriority w:val="1"/>
  </w:style>
  <w:style w:type="table" w:default="1" w:styleId="11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0"/>
    <w:qFormat/>
    <w:uiPriority w:val="99"/>
    <w:pPr>
      <w:jc w:val="left"/>
    </w:pPr>
  </w:style>
  <w:style w:type="paragraph" w:styleId="4">
    <w:name w:val="Body Text"/>
    <w:basedOn w:val="1"/>
    <w:next w:val="1"/>
    <w:link w:val="21"/>
    <w:qFormat/>
    <w:uiPriority w:val="0"/>
    <w:rPr>
      <w:rFonts w:ascii="Calibri" w:hAnsi="Calibri" w:eastAsia="仿宋" w:cs="宋体"/>
      <w:szCs w:val="24"/>
    </w:rPr>
  </w:style>
  <w:style w:type="paragraph" w:styleId="5">
    <w:name w:val="Body Text Indent 2"/>
    <w:basedOn w:val="1"/>
    <w:qFormat/>
    <w:uiPriority w:val="99"/>
    <w:pPr>
      <w:spacing w:after="120" w:line="480" w:lineRule="auto"/>
      <w:ind w:left="420" w:leftChars="200"/>
    </w:pPr>
  </w:style>
  <w:style w:type="paragraph" w:styleId="6">
    <w:name w:val="Balloon Text"/>
    <w:basedOn w:val="1"/>
    <w:link w:val="22"/>
    <w:qFormat/>
    <w:uiPriority w:val="0"/>
    <w:rPr>
      <w:sz w:val="18"/>
      <w:szCs w:val="18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</w:pPr>
    <w:rPr>
      <w:sz w:val="18"/>
    </w:rPr>
  </w:style>
  <w:style w:type="paragraph" w:styleId="9">
    <w:name w:val="footnote text"/>
    <w:basedOn w:val="1"/>
    <w:next w:val="1"/>
    <w:qFormat/>
    <w:uiPriority w:val="0"/>
    <w:pPr>
      <w:jc w:val="left"/>
    </w:pPr>
    <w:rPr>
      <w:sz w:val="18"/>
    </w:rPr>
  </w:style>
  <w:style w:type="paragraph" w:styleId="10">
    <w:name w:val="Normal (Web)"/>
    <w:basedOn w:val="1"/>
    <w:qFormat/>
    <w:uiPriority w:val="0"/>
    <w:rPr>
      <w:sz w:val="24"/>
      <w:szCs w:val="24"/>
    </w:rPr>
  </w:style>
  <w:style w:type="table" w:styleId="12">
    <w:name w:val="Table Grid"/>
    <w:basedOn w:val="11"/>
    <w:qFormat/>
    <w:uiPriority w:val="39"/>
    <w:rPr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0"/>
    <w:rPr>
      <w:b/>
    </w:rPr>
  </w:style>
  <w:style w:type="character" w:styleId="15">
    <w:name w:val="Emphasis"/>
    <w:basedOn w:val="13"/>
    <w:qFormat/>
    <w:uiPriority w:val="0"/>
    <w:rPr>
      <w:i/>
    </w:rPr>
  </w:style>
  <w:style w:type="character" w:styleId="16">
    <w:name w:val="footnote reference"/>
    <w:basedOn w:val="13"/>
    <w:qFormat/>
    <w:uiPriority w:val="0"/>
    <w:rPr>
      <w:vertAlign w:val="superscript"/>
    </w:rPr>
  </w:style>
  <w:style w:type="paragraph" w:customStyle="1" w:styleId="17">
    <w:name w:val="_Style 16"/>
    <w:basedOn w:val="1"/>
    <w:qFormat/>
    <w:uiPriority w:val="34"/>
    <w:pPr>
      <w:ind w:firstLine="420"/>
    </w:pPr>
  </w:style>
  <w:style w:type="paragraph" w:customStyle="1" w:styleId="18">
    <w:name w:val="修订1"/>
    <w:unhideWhenUsed/>
    <w:qFormat/>
    <w:uiPriority w:val="99"/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paragraph" w:customStyle="1" w:styleId="19">
    <w:name w:val="Revision"/>
    <w:semiHidden/>
    <w:qFormat/>
    <w:uiPriority w:val="99"/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character" w:customStyle="1" w:styleId="20">
    <w:name w:val="批注文字 字符"/>
    <w:basedOn w:val="13"/>
    <w:link w:val="3"/>
    <w:qFormat/>
    <w:uiPriority w:val="99"/>
    <w:rPr>
      <w:rFonts w:eastAsia="仿宋_GB2312"/>
      <w:kern w:val="2"/>
      <w:sz w:val="32"/>
      <w:szCs w:val="22"/>
    </w:rPr>
  </w:style>
  <w:style w:type="character" w:customStyle="1" w:styleId="21">
    <w:name w:val="正文文本 字符"/>
    <w:basedOn w:val="13"/>
    <w:link w:val="4"/>
    <w:qFormat/>
    <w:uiPriority w:val="0"/>
    <w:rPr>
      <w:rFonts w:hint="default" w:ascii="Calibri" w:hAnsi="Calibri" w:cs="宋体"/>
      <w:kern w:val="2"/>
      <w:sz w:val="21"/>
      <w:szCs w:val="24"/>
    </w:rPr>
  </w:style>
  <w:style w:type="character" w:customStyle="1" w:styleId="22">
    <w:name w:val="批注框文本 字符"/>
    <w:basedOn w:val="13"/>
    <w:link w:val="6"/>
    <w:qFormat/>
    <w:uiPriority w:val="0"/>
    <w:rPr>
      <w:rFonts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796</Words>
  <Characters>836</Characters>
  <Lines>137</Lines>
  <Paragraphs>36</Paragraphs>
  <TotalTime>1</TotalTime>
  <ScaleCrop>false</ScaleCrop>
  <LinksUpToDate>false</LinksUpToDate>
  <CharactersWithSpaces>836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2022-04-12T16:51:00Z</dcterms:created>
  <dc:creator>Dell</dc:creator>
  <cp:lastModifiedBy>迎军</cp:lastModifiedBy>
  <cp:lastPrinted>2026-10-10T14:05:00Z</cp:lastPrinted>
  <dcterms:modified xsi:type="dcterms:W3CDTF">2026-10-13T08:38:52Z</dcterms:modified>
  <dc:title>教学函〔2026〕2号</dc:title>
  <cp:revision>1235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5C2D5BD279B74DF1B7974FBABA1B9FB9_13</vt:lpwstr>
  </property>
  <property fmtid="{D5CDD505-2E9C-101B-9397-08002B2CF9AE}" pid="4" name="KSOTemplateDocerSaveRecord">
    <vt:lpwstr>eyJoZGlkIjoiNWRhMmQ3ODQ2ZWQyNTU0YTBkY2ZkNzY5MDdiODkxNWIiLCJ1c2VySWQiOiI2MTEwNDk5NTUifQ==</vt:lpwstr>
  </property>
</Properties>
</file>